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0E53C" w14:textId="77777777" w:rsidR="004C45B4" w:rsidRPr="00130F68" w:rsidRDefault="004C45B4" w:rsidP="004C45B4">
      <w:pPr>
        <w:pStyle w:val="Default"/>
        <w:spacing w:line="276" w:lineRule="auto"/>
        <w:ind w:firstLine="6379"/>
        <w:jc w:val="both"/>
        <w:rPr>
          <w:rFonts w:ascii="Arial Narrow" w:hAnsi="Arial Narrow" w:cs="Arial"/>
          <w:b/>
          <w:bCs/>
          <w:iCs/>
          <w:color w:val="auto"/>
        </w:rPr>
      </w:pPr>
      <w:bookmarkStart w:id="0" w:name="_GoBack"/>
      <w:bookmarkEnd w:id="0"/>
      <w:r w:rsidRPr="00130F68">
        <w:rPr>
          <w:rFonts w:ascii="Arial Narrow" w:hAnsi="Arial Narrow" w:cs="Arial"/>
          <w:b/>
          <w:bCs/>
          <w:iCs/>
          <w:color w:val="auto"/>
        </w:rPr>
        <w:t xml:space="preserve">Załącznik nr 15  do SWZ </w:t>
      </w:r>
    </w:p>
    <w:p w14:paraId="1357251D" w14:textId="77777777" w:rsidR="004C45B4" w:rsidRPr="00130F68" w:rsidRDefault="004C45B4" w:rsidP="004C45B4">
      <w:pPr>
        <w:pStyle w:val="Default"/>
        <w:spacing w:line="276" w:lineRule="auto"/>
        <w:ind w:firstLine="6379"/>
        <w:jc w:val="both"/>
        <w:rPr>
          <w:rFonts w:ascii="Arial Narrow" w:hAnsi="Arial Narrow" w:cs="Arial"/>
          <w:b/>
          <w:bCs/>
          <w:iCs/>
          <w:color w:val="auto"/>
        </w:rPr>
      </w:pPr>
      <w:r w:rsidRPr="00130F68">
        <w:rPr>
          <w:rFonts w:ascii="Arial Narrow" w:hAnsi="Arial Narrow" w:cs="Arial"/>
          <w:b/>
          <w:bCs/>
          <w:iCs/>
          <w:color w:val="auto"/>
        </w:rPr>
        <w:t xml:space="preserve">Opis przedmiotu zamówienia </w:t>
      </w:r>
    </w:p>
    <w:p w14:paraId="113775D2" w14:textId="75C1B5C7" w:rsidR="004C45B4" w:rsidRPr="00130F68" w:rsidRDefault="00BA4A83" w:rsidP="004C45B4">
      <w:pPr>
        <w:pStyle w:val="Default"/>
        <w:tabs>
          <w:tab w:val="left" w:pos="5954"/>
        </w:tabs>
        <w:spacing w:line="276" w:lineRule="auto"/>
        <w:ind w:firstLine="6379"/>
        <w:jc w:val="both"/>
        <w:rPr>
          <w:rFonts w:ascii="Arial Narrow" w:hAnsi="Arial Narrow" w:cs="Arial"/>
          <w:b/>
          <w:bCs/>
          <w:iCs/>
          <w:color w:val="auto"/>
        </w:rPr>
      </w:pPr>
      <w:r w:rsidRPr="00130F68">
        <w:rPr>
          <w:rFonts w:ascii="Arial Narrow" w:hAnsi="Arial Narrow" w:cs="Arial"/>
          <w:b/>
          <w:bCs/>
          <w:iCs/>
          <w:color w:val="auto"/>
        </w:rPr>
        <w:t xml:space="preserve">Znak sprawy: </w:t>
      </w:r>
      <w:r w:rsidR="004C45B4" w:rsidRPr="00130F68">
        <w:rPr>
          <w:rFonts w:ascii="Arial Narrow" w:hAnsi="Arial Narrow" w:cs="Arial"/>
          <w:b/>
          <w:bCs/>
          <w:iCs/>
          <w:color w:val="auto"/>
        </w:rPr>
        <w:t>P/5/2024</w:t>
      </w:r>
    </w:p>
    <w:p w14:paraId="17AFBA2E" w14:textId="77777777" w:rsidR="004C45B4" w:rsidRPr="008A3462" w:rsidRDefault="004C45B4" w:rsidP="004C45B4">
      <w:pPr>
        <w:pStyle w:val="Default"/>
        <w:spacing w:line="276" w:lineRule="auto"/>
        <w:jc w:val="both"/>
        <w:rPr>
          <w:rFonts w:ascii="Arial Narrow" w:hAnsi="Arial Narrow" w:cs="Arial"/>
          <w:bCs/>
          <w:iCs/>
          <w:color w:val="auto"/>
        </w:rPr>
      </w:pPr>
      <w:r w:rsidRPr="008A3462">
        <w:rPr>
          <w:rFonts w:ascii="Arial Narrow" w:hAnsi="Arial Narrow" w:cs="Arial"/>
          <w:bCs/>
          <w:iCs/>
          <w:color w:val="auto"/>
        </w:rPr>
        <w:t>Zamówienie obejmuje realizację zadania w 3 etapach:</w:t>
      </w:r>
    </w:p>
    <w:p w14:paraId="4B8635BA" w14:textId="77777777" w:rsidR="004C45B4" w:rsidRPr="008A3462" w:rsidRDefault="004C45B4" w:rsidP="004C45B4">
      <w:pPr>
        <w:pStyle w:val="Default"/>
        <w:spacing w:line="276" w:lineRule="auto"/>
        <w:jc w:val="both"/>
        <w:rPr>
          <w:rFonts w:ascii="Arial Narrow" w:hAnsi="Arial Narrow" w:cs="Arial"/>
          <w:b/>
          <w:iCs/>
          <w:color w:val="auto"/>
        </w:rPr>
      </w:pPr>
      <w:r w:rsidRPr="008A3462">
        <w:rPr>
          <w:rFonts w:ascii="Arial Narrow" w:hAnsi="Arial Narrow" w:cs="Arial"/>
          <w:b/>
          <w:iCs/>
          <w:color w:val="auto"/>
        </w:rPr>
        <w:t xml:space="preserve">Etap I - </w:t>
      </w:r>
      <w:r w:rsidRPr="008A3462">
        <w:rPr>
          <w:rFonts w:ascii="Arial Narrow" w:hAnsi="Arial Narrow" w:cs="Arial"/>
          <w:b/>
          <w:color w:val="auto"/>
        </w:rPr>
        <w:t>BUDOWANIE PARTNERSTWA</w:t>
      </w:r>
    </w:p>
    <w:p w14:paraId="76C7F131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bCs/>
          <w:color w:val="auto"/>
        </w:rPr>
        <w:t>1. Ewaluacja zakresu projektów partnerskich i planów programowych w zakresie oferty kulturalnej, edukacyjnej i turystyki – działania realizowane przez wykonawcę w odniesieniu do każdej ze stron projektu.</w:t>
      </w:r>
    </w:p>
    <w:p w14:paraId="6F7CCFB9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bCs/>
          <w:color w:val="auto"/>
        </w:rPr>
        <w:t>2. Realizacja badań ilościowych, których celem jest określenie oferty programowej dla projektu partnerskiego w świetle otoczenia instytucjonalnego, społeczno-gospodarczego Partnerów i zdiagnozowanych potrzeb odbiorców - działania realizowane przez wykonawcę w odniesieniu do każdej ze stron projektu.</w:t>
      </w:r>
    </w:p>
    <w:p w14:paraId="2239CDD7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</w:p>
    <w:p w14:paraId="1E9A7EA9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bCs/>
          <w:color w:val="auto"/>
        </w:rPr>
        <w:t>3. Sporządzenie projektu umowy partnerskiej – działanie dotyczące całego projektu jako przedsięwzięcia realizowanego w oparciu o wytyczne do programu UE, odbiorcą rezultatu jest Zamawiający.</w:t>
      </w:r>
    </w:p>
    <w:p w14:paraId="27F9CCCC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353278D0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  <w:r w:rsidRPr="008A3462">
        <w:rPr>
          <w:rFonts w:ascii="Arial Narrow" w:hAnsi="Arial Narrow" w:cs="Arial"/>
          <w:color w:val="auto"/>
        </w:rPr>
        <w:t>Szczegółowy zakres Etapu I obejmuje:</w:t>
      </w:r>
    </w:p>
    <w:p w14:paraId="6C51A112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color w:val="auto"/>
        </w:rPr>
        <w:t xml:space="preserve">I. </w:t>
      </w:r>
      <w:proofErr w:type="spellStart"/>
      <w:r w:rsidRPr="008A3462">
        <w:rPr>
          <w:rFonts w:ascii="Arial Narrow" w:hAnsi="Arial Narrow" w:cs="Arial"/>
          <w:color w:val="auto"/>
        </w:rPr>
        <w:t>Desk</w:t>
      </w:r>
      <w:proofErr w:type="spellEnd"/>
      <w:r w:rsidRPr="008A3462">
        <w:rPr>
          <w:rFonts w:ascii="Arial Narrow" w:hAnsi="Arial Narrow" w:cs="Arial"/>
          <w:color w:val="auto"/>
        </w:rPr>
        <w:t xml:space="preserve"> </w:t>
      </w:r>
      <w:proofErr w:type="spellStart"/>
      <w:r w:rsidRPr="008A3462">
        <w:rPr>
          <w:rFonts w:ascii="Arial Narrow" w:hAnsi="Arial Narrow" w:cs="Arial"/>
          <w:color w:val="auto"/>
        </w:rPr>
        <w:t>research</w:t>
      </w:r>
      <w:proofErr w:type="spellEnd"/>
      <w:r w:rsidRPr="008A3462">
        <w:rPr>
          <w:rFonts w:ascii="Arial Narrow" w:hAnsi="Arial Narrow" w:cs="Arial"/>
          <w:color w:val="auto"/>
        </w:rPr>
        <w:t xml:space="preserve">: analiza konkurencji, macierz </w:t>
      </w:r>
      <w:proofErr w:type="spellStart"/>
      <w:r w:rsidRPr="008A3462">
        <w:rPr>
          <w:rFonts w:ascii="Arial Narrow" w:hAnsi="Arial Narrow" w:cs="Arial"/>
          <w:color w:val="auto"/>
        </w:rPr>
        <w:t>koopetycji</w:t>
      </w:r>
      <w:proofErr w:type="spellEnd"/>
      <w:r w:rsidRPr="008A3462">
        <w:rPr>
          <w:rFonts w:ascii="Arial Narrow" w:hAnsi="Arial Narrow" w:cs="Arial"/>
          <w:color w:val="auto"/>
        </w:rPr>
        <w:t xml:space="preserve"> (możliwa współpraca instytucjonalna w zakresie oferty kulturalnej, edukacyjnej i turystyki), analiza danych statystycznych i wyników badań historycznych i zewnętrznych.</w:t>
      </w:r>
      <w:r w:rsidRPr="008A3462">
        <w:rPr>
          <w:rFonts w:ascii="Arial Narrow" w:hAnsi="Arial Narrow" w:cs="Arial"/>
          <w:bCs/>
          <w:color w:val="auto"/>
        </w:rPr>
        <w:t xml:space="preserve"> działania realizowane przez wykonawcę w odniesieniu do każdej ze stron projektu.</w:t>
      </w:r>
    </w:p>
    <w:p w14:paraId="129D23C2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31717277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color w:val="auto"/>
        </w:rPr>
        <w:t>II. Wywiady jakościowe: przeprowadzenie IDI online 12 szt. (Indywidualnych Wywiadów Pogłębionych) przez badacza doświadczonego w badaniach dla instytucji kultury, wg scenariusza opracowanego wraz z każdym z Partnerów, z przedstawicielami władz, reprezentantami strony społecznej, sektora kultury, w celu rozpoznania potrzeb mieszkańców i zidentyfikowanych grup odbiorców.</w:t>
      </w:r>
      <w:r w:rsidRPr="008A3462">
        <w:rPr>
          <w:rFonts w:ascii="Arial Narrow" w:hAnsi="Arial Narrow" w:cs="Arial"/>
          <w:bCs/>
          <w:color w:val="auto"/>
        </w:rPr>
        <w:t xml:space="preserve"> działania realizowane przez wykonawcę w odniesieniu do każdej ze stron projektu.</w:t>
      </w:r>
    </w:p>
    <w:p w14:paraId="6841006A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20B9E3C3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  <w:r w:rsidRPr="008A3462">
        <w:rPr>
          <w:rFonts w:ascii="Arial Narrow" w:hAnsi="Arial Narrow" w:cs="Arial"/>
          <w:color w:val="auto"/>
        </w:rPr>
        <w:t>III. Raport z badania jakościowego.</w:t>
      </w:r>
    </w:p>
    <w:p w14:paraId="16636FFB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color w:val="auto"/>
        </w:rPr>
        <w:t>IV. Warsztaty z udziałem kadr Instytucji, których celem będzie wypracowanie konceptu programowego i oferty kulturalnej i edukacyjnej, opartego o prezentację wyników badań jakościowych.</w:t>
      </w:r>
      <w:r w:rsidRPr="008A3462">
        <w:rPr>
          <w:rFonts w:ascii="Arial Narrow" w:hAnsi="Arial Narrow" w:cs="Arial"/>
          <w:bCs/>
          <w:color w:val="auto"/>
        </w:rPr>
        <w:t xml:space="preserve"> działania realizowane przez wykonawcę w odniesieniu do każdej ze stron</w:t>
      </w:r>
      <w:r>
        <w:rPr>
          <w:rFonts w:ascii="Arial Narrow" w:hAnsi="Arial Narrow" w:cs="Arial"/>
          <w:bCs/>
          <w:color w:val="auto"/>
        </w:rPr>
        <w:t>.</w:t>
      </w:r>
      <w:r w:rsidRPr="008A3462">
        <w:rPr>
          <w:rFonts w:ascii="Arial Narrow" w:hAnsi="Arial Narrow" w:cs="Arial"/>
          <w:bCs/>
          <w:color w:val="auto"/>
        </w:rPr>
        <w:t xml:space="preserve"> </w:t>
      </w:r>
    </w:p>
    <w:p w14:paraId="7FCBB63D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451B3BFE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color w:val="auto"/>
        </w:rPr>
        <w:t>V. Opracowanie i prezentacja rekomendacji w oparciu o wyniki badań jakościowych do oferty programowej Partnerów w świetle otoczenia instytucjonalnego, społeczno-gospodarczego i zdiagnozowanych potrzeb odbiorców -</w:t>
      </w:r>
      <w:r w:rsidRPr="008A3462">
        <w:rPr>
          <w:rFonts w:ascii="Arial Narrow" w:hAnsi="Arial Narrow" w:cs="Arial"/>
          <w:bCs/>
          <w:color w:val="auto"/>
        </w:rPr>
        <w:t xml:space="preserve"> działania realizowane przez wykonawcę w odniesieniu do każdej ze stron projektu.</w:t>
      </w:r>
    </w:p>
    <w:p w14:paraId="40D9669A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6F41E7ED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  <w:r w:rsidRPr="008A3462">
        <w:rPr>
          <w:rFonts w:ascii="Arial Narrow" w:hAnsi="Arial Narrow" w:cs="Arial"/>
          <w:color w:val="auto"/>
        </w:rPr>
        <w:t>VI. Opracowanie projektu umowy partnerskiej z uwzględnieniem zapisów programowych oraz uwzględnieniem zakresu współpracy, praw i obowiązków partnerów projektu, odpowiedzialności prawnej i finansowej partnerów i harmonogramu oraz terminów realizacji zadań.</w:t>
      </w:r>
    </w:p>
    <w:p w14:paraId="4E6B61F6" w14:textId="77777777" w:rsidR="004C45B4" w:rsidRPr="008A3462" w:rsidRDefault="004C45B4" w:rsidP="004C45B4">
      <w:pPr>
        <w:jc w:val="both"/>
        <w:rPr>
          <w:rFonts w:ascii="Arial Narrow" w:hAnsi="Arial Narrow" w:cs="Arial"/>
          <w:b/>
          <w:bCs/>
          <w:color w:val="auto"/>
        </w:rPr>
      </w:pPr>
    </w:p>
    <w:p w14:paraId="089A05BE" w14:textId="77777777" w:rsidR="004C45B4" w:rsidRPr="008A3462" w:rsidRDefault="004C45B4" w:rsidP="004C45B4">
      <w:pPr>
        <w:jc w:val="both"/>
        <w:rPr>
          <w:rFonts w:ascii="Arial Narrow" w:hAnsi="Arial Narrow" w:cs="Arial"/>
          <w:b/>
          <w:bCs/>
          <w:color w:val="auto"/>
        </w:rPr>
      </w:pPr>
    </w:p>
    <w:p w14:paraId="17DB08AB" w14:textId="77777777" w:rsidR="004C45B4" w:rsidRPr="008A3462" w:rsidRDefault="004C45B4" w:rsidP="004C45B4">
      <w:pPr>
        <w:jc w:val="both"/>
        <w:rPr>
          <w:rFonts w:ascii="Arial Narrow" w:hAnsi="Arial Narrow" w:cs="Arial"/>
          <w:b/>
          <w:bCs/>
          <w:color w:val="auto"/>
        </w:rPr>
      </w:pPr>
      <w:r w:rsidRPr="008A3462">
        <w:rPr>
          <w:rFonts w:ascii="Arial Narrow" w:hAnsi="Arial Narrow" w:cs="Arial"/>
          <w:b/>
          <w:bCs/>
          <w:color w:val="auto"/>
        </w:rPr>
        <w:t>Etap II - ANALIZA POPYTU</w:t>
      </w:r>
    </w:p>
    <w:p w14:paraId="48E835E7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color w:val="auto"/>
        </w:rPr>
        <w:t xml:space="preserve">Opracowania analizy popytu dla projektu partnerskiego – określenie przyszłego popytu na rezultaty projektu, w tym ofertę kulturalno-edukacyjną- </w:t>
      </w:r>
      <w:r w:rsidRPr="008A3462">
        <w:rPr>
          <w:rFonts w:ascii="Arial Narrow" w:hAnsi="Arial Narrow" w:cs="Arial"/>
          <w:bCs/>
          <w:color w:val="auto"/>
        </w:rPr>
        <w:t>działania realizowane przez wykonawcę w odniesieniu do każdej ze stron projektu.</w:t>
      </w:r>
    </w:p>
    <w:p w14:paraId="0F68B816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3F6ADD50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01B91E2F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  <w:r w:rsidRPr="008A3462">
        <w:rPr>
          <w:rFonts w:ascii="Arial Narrow" w:hAnsi="Arial Narrow" w:cs="Arial"/>
          <w:color w:val="auto"/>
        </w:rPr>
        <w:t>Szczegółowy zakres Etapu II obejmuje:</w:t>
      </w:r>
    </w:p>
    <w:p w14:paraId="35C79591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color w:val="auto"/>
        </w:rPr>
        <w:lastRenderedPageBreak/>
        <w:t xml:space="preserve">1. Opracowanie kwestionariusza ankiety w oparciu o wyniki badań jakościowych i koncepcji ofert partnerów wypracowanych podczas warsztatu - </w:t>
      </w:r>
      <w:r w:rsidRPr="008A3462">
        <w:rPr>
          <w:rFonts w:ascii="Arial Narrow" w:hAnsi="Arial Narrow" w:cs="Arial"/>
          <w:bCs/>
          <w:color w:val="auto"/>
        </w:rPr>
        <w:t>działania realizowane przez wykonawcę w odniesieniu do każdej ze stron projektu.</w:t>
      </w:r>
    </w:p>
    <w:p w14:paraId="44C1A0C3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53413573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color w:val="auto"/>
        </w:rPr>
        <w:t>2. Przeprowadzenie badania ilościowego metodą CAWI (</w:t>
      </w:r>
      <w:proofErr w:type="spellStart"/>
      <w:r w:rsidRPr="008A3462">
        <w:rPr>
          <w:rFonts w:ascii="Arial Narrow" w:hAnsi="Arial Narrow" w:cs="Arial"/>
          <w:color w:val="auto"/>
        </w:rPr>
        <w:t>Computer-Assisted</w:t>
      </w:r>
      <w:proofErr w:type="spellEnd"/>
      <w:r w:rsidRPr="008A3462">
        <w:rPr>
          <w:rFonts w:ascii="Arial Narrow" w:hAnsi="Arial Narrow" w:cs="Arial"/>
          <w:color w:val="auto"/>
        </w:rPr>
        <w:t xml:space="preserve"> Web Interview) tzw. kuli śnieżnej (</w:t>
      </w:r>
      <w:proofErr w:type="spellStart"/>
      <w:r w:rsidRPr="008A3462">
        <w:rPr>
          <w:rFonts w:ascii="Arial Narrow" w:hAnsi="Arial Narrow" w:cs="Arial"/>
          <w:color w:val="auto"/>
        </w:rPr>
        <w:t>snow-ball</w:t>
      </w:r>
      <w:proofErr w:type="spellEnd"/>
      <w:r w:rsidRPr="008A3462">
        <w:rPr>
          <w:rFonts w:ascii="Arial Narrow" w:hAnsi="Arial Narrow" w:cs="Arial"/>
          <w:color w:val="auto"/>
        </w:rPr>
        <w:t>) n=300 poprzez zaproszenia zamieszczane przez instytucje w mediach społecznościowych / newsletterze / rozsyłane różnymi kanałami do mieszkańców i Regionu, a także uzupełnienie metodą PAPI (Paper &amp; Pen Personal Interview), czyli ankietami w formie papierowej zbieranym przez instytucję (około 20% próby) – n=60. Razem n=360</w:t>
      </w:r>
      <w:r w:rsidRPr="008A3462">
        <w:rPr>
          <w:rFonts w:ascii="Arial Narrow" w:hAnsi="Arial Narrow" w:cs="Arial"/>
          <w:bCs/>
          <w:color w:val="auto"/>
        </w:rPr>
        <w:t xml:space="preserve"> działania realizowane przez wykonawcę w odniesieniu do każdej ze stron projektu.</w:t>
      </w:r>
    </w:p>
    <w:p w14:paraId="07AC6A1A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7C6F1B71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color w:val="auto"/>
        </w:rPr>
        <w:t xml:space="preserve">3. Opracowanie raportu z badania ilościowego - </w:t>
      </w:r>
      <w:r w:rsidRPr="008A3462">
        <w:rPr>
          <w:rFonts w:ascii="Arial Narrow" w:hAnsi="Arial Narrow" w:cs="Arial"/>
          <w:bCs/>
          <w:color w:val="auto"/>
        </w:rPr>
        <w:t xml:space="preserve"> działanie dotyczące całego projektu jako przedsięwzięcia realizowanego w oparciu o wytyczne do programu UE, odbiorcą rezultatu jest Zamawiający.</w:t>
      </w:r>
    </w:p>
    <w:p w14:paraId="4D7CC080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45F1D17B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68FE337F" w14:textId="77777777" w:rsidR="004C45B4" w:rsidRPr="008A3462" w:rsidRDefault="004C45B4" w:rsidP="004C45B4">
      <w:pPr>
        <w:pStyle w:val="Default"/>
        <w:jc w:val="both"/>
        <w:rPr>
          <w:rFonts w:ascii="Arial Narrow" w:hAnsi="Arial Narrow" w:cs="Arial"/>
          <w:bCs/>
          <w:color w:val="auto"/>
        </w:rPr>
      </w:pPr>
      <w:r w:rsidRPr="008A3462">
        <w:rPr>
          <w:rFonts w:ascii="Arial Narrow" w:hAnsi="Arial Narrow" w:cs="Arial"/>
          <w:b/>
          <w:bCs/>
          <w:color w:val="auto"/>
        </w:rPr>
        <w:t>Etap III - OPRACOWANIE DOKUMENTACJI APLIKACYJNEJ</w:t>
      </w:r>
      <w:r w:rsidRPr="008A3462">
        <w:rPr>
          <w:rFonts w:ascii="Arial Narrow" w:hAnsi="Arial Narrow" w:cs="Arial"/>
          <w:bCs/>
          <w:color w:val="auto"/>
        </w:rPr>
        <w:t xml:space="preserve"> działanie dotyczące całego projektu jako przedsięwzięcia realizowanego w oparciu o wytyczne do programu UE, odbiorcą rezultatu jest Zamawiający.</w:t>
      </w:r>
    </w:p>
    <w:p w14:paraId="7B0A8AD7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5E7D5609" w14:textId="712CBE7E" w:rsidR="004C45B4" w:rsidRPr="00130F68" w:rsidRDefault="004C45B4" w:rsidP="004C45B4">
      <w:pPr>
        <w:pStyle w:val="Default"/>
        <w:jc w:val="both"/>
        <w:rPr>
          <w:rFonts w:ascii="Arial Narrow" w:hAnsi="Arial Narrow" w:cs="Arial"/>
          <w:color w:val="auto"/>
        </w:rPr>
      </w:pPr>
      <w:r w:rsidRPr="00130F68">
        <w:rPr>
          <w:rFonts w:ascii="Arial Narrow" w:hAnsi="Arial Narrow" w:cs="Arial"/>
          <w:color w:val="auto"/>
        </w:rPr>
        <w:t>Opracowani</w:t>
      </w:r>
      <w:r w:rsidR="00BA4A83" w:rsidRPr="00130F68">
        <w:rPr>
          <w:rFonts w:ascii="Arial Narrow" w:hAnsi="Arial Narrow" w:cs="Arial"/>
          <w:color w:val="auto"/>
        </w:rPr>
        <w:t>e treści</w:t>
      </w:r>
      <w:r w:rsidRPr="00130F68">
        <w:rPr>
          <w:rFonts w:ascii="Arial Narrow" w:hAnsi="Arial Narrow" w:cs="Arial"/>
          <w:color w:val="auto"/>
        </w:rPr>
        <w:t xml:space="preserve"> wniosku aplikacyjnego wraz z kompletem załączników do aplikacji w ramach Działania FEMP.05.17 Infrastruktura regionalnych instytucji kultury w ramach programu regionalnego Fundusze Europejskie dla Małopolski 2021-2027 Cel szczegółowy EFRR.CP4.VI: Wzmacnianie roli kultury i zrównoważonej turystyki w rozwoju gospodarczym, włączeniu społecznym i innowacjach społecznych. Typ projektu A Infrastruktura Regionalnych Instytucji Kultury</w:t>
      </w:r>
      <w:r w:rsidR="00BA4A83" w:rsidRPr="00130F68">
        <w:rPr>
          <w:rFonts w:ascii="Arial Narrow" w:hAnsi="Arial Narrow" w:cs="Arial"/>
          <w:color w:val="auto"/>
        </w:rPr>
        <w:t xml:space="preserve"> zgodnie z wymaganiami stawianymi przez Wytyczn</w:t>
      </w:r>
      <w:r w:rsidR="00D32809" w:rsidRPr="00130F68">
        <w:rPr>
          <w:rFonts w:ascii="Arial Narrow" w:hAnsi="Arial Narrow" w:cs="Arial"/>
          <w:color w:val="auto"/>
        </w:rPr>
        <w:t xml:space="preserve">e Programowe. </w:t>
      </w:r>
    </w:p>
    <w:p w14:paraId="095A81E5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7035F3DF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  <w:r w:rsidRPr="008A3462">
        <w:rPr>
          <w:rFonts w:ascii="Arial Narrow" w:hAnsi="Arial Narrow" w:cs="Arial"/>
          <w:color w:val="auto"/>
        </w:rPr>
        <w:t>Szczegółowy zakres Etapu III obejmuje:</w:t>
      </w:r>
    </w:p>
    <w:p w14:paraId="60D9AF5D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  <w:r w:rsidRPr="008A3462">
        <w:rPr>
          <w:rFonts w:ascii="Arial Narrow" w:hAnsi="Arial Narrow" w:cs="Arial"/>
          <w:color w:val="auto"/>
        </w:rPr>
        <w:t>Opracowanie wniosku aplikacyjnego wraz z kompletem załączników ze szczególnym uwzględnieniem:</w:t>
      </w:r>
    </w:p>
    <w:p w14:paraId="1A297EA5" w14:textId="77777777" w:rsidR="004C45B4" w:rsidRPr="008A3462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>Podniesienia jakości infrastruktury kultury oraz zwiększania dostępu do oferty kulturalnej i podniesienia jej atrakcyjności w regionie poprzez stworzenie optymalnych warunków dla prowadzenia działalności kulturalnej, sprzyjających aktywnemu uczestnictwu w kulturze i w życiu społecznym.</w:t>
      </w:r>
    </w:p>
    <w:p w14:paraId="44EC3D15" w14:textId="77777777" w:rsidR="004C45B4" w:rsidRPr="008A3462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>Działań, w wyniku których nastąpi widoczna, realna zmiana w działalności instytucji kultury województwa małopolskiego (rozszerzenie, wzbogacenie dotychczasowych ofert/funkcji lub wprowadzenie nowych funkcji z zakresu działalności kulturalnej, edukacji kulturalnej czy służących integracji społecznej). W skali roku przynajmniej 80% czasu lub przestrzeni tej infrastruktury musi być wykorzystywane do celów związanych z kulturą.</w:t>
      </w:r>
    </w:p>
    <w:p w14:paraId="35F030DC" w14:textId="77777777" w:rsidR="004C45B4" w:rsidRPr="008A3462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 xml:space="preserve"> Wsparcia obiektów instytucji kultury województwa małopolskiego, które mają charakter zabytkowy m.in. poprzez realizację prac konserwatorskich, restauratorskich, robót budowlanych oraz prac zabezpieczających przy zabytkach wraz z ich otoczeniem.</w:t>
      </w:r>
    </w:p>
    <w:p w14:paraId="5A8F46C8" w14:textId="77777777" w:rsidR="004C45B4" w:rsidRPr="008A3462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>Wyposażenia w nowe technologie wzmacniające ofertę kulturalną.</w:t>
      </w:r>
    </w:p>
    <w:p w14:paraId="459B3ED9" w14:textId="77777777" w:rsidR="004C45B4" w:rsidRPr="008A3462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>Dostosowania obiektów do potrzeb osób z niepełnosprawnościami, oraz zapewnienie warunków technicznych w zakresie ich dostępności, m.in. dla seniorów czy rodzin z małymi dziećmi.</w:t>
      </w:r>
    </w:p>
    <w:p w14:paraId="6FC6DCA7" w14:textId="77777777" w:rsidR="004C45B4" w:rsidRPr="008A3462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>Zakupu wyposażenia na potrzeby prowadzenia działalności kulturalnej związanej z edukacją kulturalną czy służącej integracji społecznej.</w:t>
      </w:r>
    </w:p>
    <w:p w14:paraId="3B0BD9FF" w14:textId="77777777" w:rsidR="004C45B4" w:rsidRPr="008A3462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 xml:space="preserve">Rozwoju zasobów małopolskiego dziedzictwa niematerialnego, w tym jego dokumentowanie, zachowanie i upowszechnianie m.in. poprzez badania terenowe, sporządzanie wywiadów i </w:t>
      </w:r>
      <w:r w:rsidRPr="008A3462">
        <w:rPr>
          <w:rFonts w:ascii="Arial Narrow" w:hAnsi="Arial Narrow" w:cs="Arial"/>
          <w:sz w:val="24"/>
          <w:szCs w:val="24"/>
        </w:rPr>
        <w:lastRenderedPageBreak/>
        <w:t>dokumentacji etnograficznej, upowszechnianie kultury ludowej oraz tradycyjnego rzemiosła i rękodzieła artystycznego w formie warsztatów.</w:t>
      </w:r>
    </w:p>
    <w:p w14:paraId="50B6D1B2" w14:textId="77777777" w:rsidR="004C45B4" w:rsidRPr="008A3462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>Odporności na przyszłe kryzysy np. związane z kryzysem gospodarczym (wzrost cen) negatywnymi zjawiskami klimatycznymi (globalne ocieplenie), kryzysem zdrowotnym (przygotowanie na ewentualne kolejne zamknięcia gospodarki w związku z pandemią) pozytywny wpływ na mniejszości i lokalne społeczności.</w:t>
      </w:r>
    </w:p>
    <w:p w14:paraId="10976D23" w14:textId="77777777" w:rsidR="004C45B4" w:rsidRDefault="004C45B4" w:rsidP="004C45B4">
      <w:pPr>
        <w:pStyle w:val="Akapitzlist"/>
        <w:numPr>
          <w:ilvl w:val="0"/>
          <w:numId w:val="2"/>
        </w:numPr>
        <w:spacing w:after="0" w:line="27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8A3462">
        <w:rPr>
          <w:rFonts w:ascii="Arial Narrow" w:hAnsi="Arial Narrow" w:cs="Arial"/>
          <w:sz w:val="24"/>
          <w:szCs w:val="24"/>
        </w:rPr>
        <w:t>Dywersyfikacji źródeł przychodów własnych i poprawy samowystarczalności finansowej wspieranych obiektów.</w:t>
      </w:r>
    </w:p>
    <w:p w14:paraId="225BA3E3" w14:textId="40A44FE2" w:rsidR="004C45B4" w:rsidRPr="006D24D8" w:rsidRDefault="004C45B4" w:rsidP="006D24D8">
      <w:pPr>
        <w:pStyle w:val="Akapitzlist"/>
        <w:spacing w:after="0" w:line="278" w:lineRule="auto"/>
        <w:contextualSpacing/>
        <w:jc w:val="both"/>
        <w:rPr>
          <w:rFonts w:ascii="Arial Narrow" w:hAnsi="Arial Narrow" w:cs="Arial"/>
          <w:bCs/>
          <w:szCs w:val="24"/>
        </w:rPr>
      </w:pPr>
      <w:r w:rsidRPr="004C45B4">
        <w:rPr>
          <w:rFonts w:ascii="Arial Narrow" w:hAnsi="Arial Narrow" w:cs="Arial"/>
          <w:sz w:val="24"/>
          <w:szCs w:val="24"/>
        </w:rPr>
        <w:t>PONADTO W RAMACH PRAC III ETAPU WYKONAWCA zamieszcza w systemie elektronicznym  kompletny WNIOSEK APLIKACYJNY wraz z wymaganymi załącznikami  zgo</w:t>
      </w:r>
      <w:r w:rsidR="009149F4">
        <w:rPr>
          <w:rFonts w:ascii="Arial Narrow" w:hAnsi="Arial Narrow" w:cs="Arial"/>
          <w:sz w:val="24"/>
          <w:szCs w:val="24"/>
        </w:rPr>
        <w:t>d</w:t>
      </w:r>
      <w:r w:rsidRPr="004C45B4">
        <w:rPr>
          <w:rFonts w:ascii="Arial Narrow" w:hAnsi="Arial Narrow" w:cs="Arial"/>
          <w:sz w:val="24"/>
          <w:szCs w:val="24"/>
        </w:rPr>
        <w:t xml:space="preserve">nie ze wzorem wniosku i instrukcją jego wypełniania dla projektów </w:t>
      </w:r>
      <w:r w:rsidRPr="004C45B4">
        <w:rPr>
          <w:rFonts w:ascii="Arial Narrow" w:hAnsi="Arial Narrow" w:cs="Arial"/>
          <w:bCs/>
          <w:szCs w:val="24"/>
        </w:rPr>
        <w:t xml:space="preserve">w ramach Działania FEMP.05.17 Infrastruktura regionalnych instytucji kultury w ramach programu regionalnego Fundusze Europejskie dla Małopolski 2021-2027 Cel szczegółowy EFRR.CP4.VI: Wzmacnianie roli kultury i zrównoważonej turystyki w rozwoju gospodarczym, włączeniu społecznym i innowacjach społecznych. Typ projektu A Infrastruktura Regionalnych Instytucji Kultury.  </w:t>
      </w:r>
    </w:p>
    <w:p w14:paraId="30AAFFA7" w14:textId="77777777" w:rsidR="004C45B4" w:rsidRPr="008A3462" w:rsidRDefault="004C45B4" w:rsidP="004C45B4">
      <w:pPr>
        <w:jc w:val="both"/>
        <w:rPr>
          <w:rFonts w:ascii="Arial Narrow" w:hAnsi="Arial Narrow" w:cs="Arial"/>
          <w:color w:val="auto"/>
        </w:rPr>
      </w:pPr>
    </w:p>
    <w:p w14:paraId="6256EA8C" w14:textId="494FF83E" w:rsidR="006D24D8" w:rsidRPr="00130F68" w:rsidRDefault="004C45B4" w:rsidP="00473C16">
      <w:pPr>
        <w:pStyle w:val="Akapitzlist"/>
        <w:numPr>
          <w:ilvl w:val="0"/>
          <w:numId w:val="1"/>
        </w:numPr>
        <w:ind w:left="567" w:hanging="567"/>
        <w:jc w:val="both"/>
        <w:rPr>
          <w:rFonts w:ascii="Arial Narrow" w:hAnsi="Arial Narrow" w:cs="Arial"/>
          <w:b/>
          <w:sz w:val="24"/>
          <w:szCs w:val="24"/>
        </w:rPr>
      </w:pPr>
      <w:bookmarkStart w:id="1" w:name="_Hlk175824135"/>
      <w:r w:rsidRPr="00130F68">
        <w:rPr>
          <w:rFonts w:ascii="Arial Narrow" w:hAnsi="Arial Narrow" w:cs="Arial"/>
          <w:b/>
          <w:sz w:val="24"/>
          <w:szCs w:val="24"/>
        </w:rPr>
        <w:t>Opracowani</w:t>
      </w:r>
      <w:r w:rsidR="006D24D8" w:rsidRPr="00130F68">
        <w:rPr>
          <w:rFonts w:ascii="Arial Narrow" w:hAnsi="Arial Narrow" w:cs="Arial"/>
          <w:b/>
          <w:sz w:val="24"/>
          <w:szCs w:val="24"/>
        </w:rPr>
        <w:t xml:space="preserve">e wniosku aplikacyjnego wraz z załącznikami </w:t>
      </w:r>
      <w:r w:rsidRPr="00130F68">
        <w:rPr>
          <w:rFonts w:ascii="Arial Narrow" w:hAnsi="Arial Narrow" w:cs="Arial"/>
          <w:b/>
          <w:sz w:val="24"/>
          <w:szCs w:val="24"/>
        </w:rPr>
        <w:t xml:space="preserve"> należy sporządzić w 3 egzemplarzach w formacie A4 druk jednostronny  oraz w formie elektronicznej w wersji edytowalnej i pdf.</w:t>
      </w:r>
      <w:r w:rsidR="006D24D8" w:rsidRPr="00130F68">
        <w:rPr>
          <w:rFonts w:ascii="Courier New" w:eastAsia="Times New Roman" w:hAnsi="Courier New" w:cs="Courier New"/>
          <w:b/>
          <w:bCs/>
          <w:sz w:val="24"/>
          <w:szCs w:val="24"/>
          <w:lang w:bidi="pl-PL"/>
        </w:rPr>
        <w:t xml:space="preserve"> </w:t>
      </w:r>
      <w:r w:rsidR="006D24D8" w:rsidRPr="00130F68">
        <w:rPr>
          <w:rFonts w:ascii="Arial Narrow" w:hAnsi="Arial Narrow" w:cs="Arial"/>
          <w:b/>
          <w:bCs/>
          <w:sz w:val="24"/>
          <w:szCs w:val="24"/>
          <w:lang w:bidi="pl-PL"/>
        </w:rPr>
        <w:t>w obowiązującym do elektronicznego składa</w:t>
      </w:r>
      <w:r w:rsidR="00D32809" w:rsidRPr="00130F68">
        <w:rPr>
          <w:rFonts w:ascii="Arial Narrow" w:hAnsi="Arial Narrow" w:cs="Arial"/>
          <w:b/>
          <w:bCs/>
          <w:sz w:val="24"/>
          <w:szCs w:val="24"/>
          <w:lang w:bidi="pl-PL"/>
        </w:rPr>
        <w:t>nia</w:t>
      </w:r>
      <w:r w:rsidR="006D24D8" w:rsidRPr="00130F68">
        <w:rPr>
          <w:rFonts w:ascii="Arial Narrow" w:hAnsi="Arial Narrow" w:cs="Arial"/>
          <w:b/>
          <w:bCs/>
          <w:sz w:val="24"/>
          <w:szCs w:val="24"/>
          <w:lang w:bidi="pl-PL"/>
        </w:rPr>
        <w:t xml:space="preserve"> wniosków  systemie  IGA (Internetowy Generator Aplikacji). Wykonawca zobowiązany będzie </w:t>
      </w:r>
      <w:r w:rsidR="00473C16" w:rsidRPr="00130F68">
        <w:rPr>
          <w:rFonts w:ascii="Arial Narrow" w:hAnsi="Arial Narrow" w:cs="Arial"/>
          <w:b/>
          <w:bCs/>
          <w:sz w:val="24"/>
          <w:szCs w:val="24"/>
          <w:lang w:bidi="pl-PL"/>
        </w:rPr>
        <w:t>do udzielenia pomocy Zamawiającemu w procedurze wysyłania wniosku.</w:t>
      </w:r>
    </w:p>
    <w:bookmarkEnd w:id="1"/>
    <w:p w14:paraId="489752B7" w14:textId="1BF330C0" w:rsidR="00065D96" w:rsidRPr="00130F68" w:rsidRDefault="006D24D8" w:rsidP="00473C16">
      <w:pPr>
        <w:pStyle w:val="Akapitzlist"/>
        <w:numPr>
          <w:ilvl w:val="0"/>
          <w:numId w:val="1"/>
        </w:numPr>
        <w:ind w:left="567" w:hanging="567"/>
        <w:jc w:val="both"/>
        <w:rPr>
          <w:rFonts w:ascii="Arial Narrow" w:hAnsi="Arial Narrow" w:cs="Arial"/>
          <w:b/>
          <w:sz w:val="24"/>
          <w:szCs w:val="24"/>
        </w:rPr>
      </w:pPr>
      <w:r w:rsidRPr="00130F68">
        <w:rPr>
          <w:rFonts w:ascii="Arial Narrow" w:hAnsi="Arial Narrow" w:cs="Arial"/>
          <w:b/>
        </w:rPr>
        <w:t>Rozliczenie  za poszczególne etapy nastąpi za protokołem  zdawczo - odbiorczym.</w:t>
      </w:r>
    </w:p>
    <w:sectPr w:rsidR="00065D96" w:rsidRPr="00130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6051"/>
    <w:multiLevelType w:val="hybridMultilevel"/>
    <w:tmpl w:val="C2AE0F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8AD576C"/>
    <w:multiLevelType w:val="hybridMultilevel"/>
    <w:tmpl w:val="60D4FD42"/>
    <w:lvl w:ilvl="0" w:tplc="0415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 w15:restartNumberingAfterBreak="0">
    <w:nsid w:val="6C1C3809"/>
    <w:multiLevelType w:val="hybridMultilevel"/>
    <w:tmpl w:val="E6B8C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B4"/>
    <w:rsid w:val="00065D96"/>
    <w:rsid w:val="00130F68"/>
    <w:rsid w:val="00134AD7"/>
    <w:rsid w:val="0025206D"/>
    <w:rsid w:val="00473C16"/>
    <w:rsid w:val="004C45B4"/>
    <w:rsid w:val="004C4A15"/>
    <w:rsid w:val="006D24D8"/>
    <w:rsid w:val="007B69F3"/>
    <w:rsid w:val="009149F4"/>
    <w:rsid w:val="00BA4A83"/>
    <w:rsid w:val="00D32809"/>
    <w:rsid w:val="00EE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6E68"/>
  <w15:chartTrackingRefBased/>
  <w15:docId w15:val="{02C6387B-89E4-48E4-A595-5857265C1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5B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Normal,Akapit z listą3,Akapit z listą31,L1,Akapit z listą5,CW_Lista,2 heading,A_wyliczenie,K-P_odwolanie,maz_wyliczenie,opis dzialania,BulletC,Obiekt,List Paragraph1"/>
    <w:basedOn w:val="Normalny"/>
    <w:link w:val="AkapitzlistZnak"/>
    <w:uiPriority w:val="34"/>
    <w:qFormat/>
    <w:rsid w:val="004C45B4"/>
    <w:pPr>
      <w:widowControl/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AkapitzlistZnak">
    <w:name w:val="Akapit z listą Znak"/>
    <w:aliases w:val="Numerowanie Znak,List Paragraph Znak,Akapit z listą BS Znak,Kolorowa lista — akcent 11 Znak,Normal Znak,Akapit z listą3 Znak,Akapit z listą31 Znak,L1 Znak,Akapit z listą5 Znak,CW_Lista Znak,2 heading Znak,A_wyliczenie Znak"/>
    <w:link w:val="Akapitzlist"/>
    <w:uiPriority w:val="34"/>
    <w:qFormat/>
    <w:locked/>
    <w:rsid w:val="004C45B4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4C45B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A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4A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4A83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A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A83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809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cp:lastPrinted>2024-08-30T08:03:00Z</cp:lastPrinted>
  <dcterms:created xsi:type="dcterms:W3CDTF">2024-08-30T08:03:00Z</dcterms:created>
  <dcterms:modified xsi:type="dcterms:W3CDTF">2024-08-30T08:03:00Z</dcterms:modified>
</cp:coreProperties>
</file>